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Default="00AB20E9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21.01</w:t>
      </w:r>
      <w:r w:rsidR="006C6A5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6C6A5E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6C6A5E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A92E7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6CB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736CB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736C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 № </w:t>
      </w:r>
      <w:r w:rsidR="00736CB5">
        <w:rPr>
          <w:b/>
          <w:sz w:val="28"/>
          <w:szCs w:val="28"/>
        </w:rPr>
        <w:t>65</w:t>
      </w:r>
      <w:r w:rsidR="00C44829"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C3FBE">
        <w:rPr>
          <w:bCs/>
          <w:sz w:val="28"/>
          <w:szCs w:val="28"/>
        </w:rPr>
        <w:t>40412</w:t>
      </w:r>
      <w:r w:rsidR="00C44829">
        <w:rPr>
          <w:bCs/>
          <w:sz w:val="28"/>
          <w:szCs w:val="28"/>
        </w:rPr>
        <w:t>,</w:t>
      </w:r>
      <w:r w:rsidR="000C3FBE">
        <w:rPr>
          <w:bCs/>
          <w:sz w:val="28"/>
          <w:szCs w:val="28"/>
        </w:rPr>
        <w:t>1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C44829">
        <w:rPr>
          <w:bCs/>
          <w:sz w:val="28"/>
          <w:szCs w:val="28"/>
        </w:rPr>
        <w:t>4</w:t>
      </w:r>
      <w:r w:rsidR="000C3FBE">
        <w:rPr>
          <w:bCs/>
          <w:sz w:val="28"/>
          <w:szCs w:val="28"/>
        </w:rPr>
        <w:t>130</w:t>
      </w:r>
      <w:r w:rsidR="00FA426F">
        <w:rPr>
          <w:bCs/>
          <w:sz w:val="28"/>
          <w:szCs w:val="28"/>
        </w:rPr>
        <w:t>2</w:t>
      </w:r>
      <w:r w:rsidR="00C44829">
        <w:rPr>
          <w:bCs/>
          <w:sz w:val="28"/>
          <w:szCs w:val="28"/>
        </w:rPr>
        <w:t>,</w:t>
      </w:r>
      <w:r w:rsidR="00FA426F">
        <w:rPr>
          <w:bCs/>
          <w:sz w:val="28"/>
          <w:szCs w:val="28"/>
        </w:rPr>
        <w:t>0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FB0002">
        <w:rPr>
          <w:sz w:val="28"/>
          <w:szCs w:val="28"/>
          <w:shd w:val="clear" w:color="auto" w:fill="FFFFFF" w:themeFill="background1"/>
        </w:rPr>
        <w:t>1621,3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FA426F">
        <w:rPr>
          <w:sz w:val="28"/>
          <w:szCs w:val="28"/>
        </w:rPr>
        <w:t>889,9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A92E7D">
        <w:rPr>
          <w:sz w:val="28"/>
          <w:szCs w:val="28"/>
        </w:rPr>
        <w:t>11990,9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>ого значения 7310,3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A92E7D">
        <w:rPr>
          <w:sz w:val="28"/>
          <w:szCs w:val="28"/>
        </w:rPr>
        <w:t>889,9</w:t>
      </w:r>
      <w:r w:rsidR="00A92E7D" w:rsidRPr="00194927">
        <w:rPr>
          <w:sz w:val="28"/>
          <w:szCs w:val="28"/>
        </w:rPr>
        <w:t xml:space="preserve"> тыс. рублей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DE7F9C" w:rsidRPr="00DE7F9C" w:rsidRDefault="00A24BBB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в сумме </w:t>
      </w:r>
      <w:r w:rsidR="00FB0002">
        <w:rPr>
          <w:sz w:val="28"/>
          <w:szCs w:val="28"/>
        </w:rPr>
        <w:t>1783,0</w:t>
      </w:r>
      <w:r w:rsidRPr="00DE7F9C">
        <w:rPr>
          <w:sz w:val="28"/>
          <w:szCs w:val="28"/>
        </w:rPr>
        <w:t xml:space="preserve"> тыс. рублей.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</w:p>
    <w:p w:rsidR="00C44829" w:rsidRDefault="00C44829" w:rsidP="00DE7F9C">
      <w:pPr>
        <w:ind w:firstLine="709"/>
        <w:jc w:val="both"/>
        <w:rPr>
          <w:b/>
          <w:sz w:val="28"/>
          <w:szCs w:val="28"/>
        </w:rPr>
      </w:pP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A92E7D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490B42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C64D2C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Поступления от денежных пожертвований, предоставляемых физическим лицами получателям </w:t>
            </w:r>
            <w:r w:rsidRPr="001B7141">
              <w:rPr>
                <w:bCs/>
                <w:color w:val="000000"/>
              </w:rPr>
              <w:lastRenderedPageBreak/>
              <w:t>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122A62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200DF" w:rsidRDefault="005A773A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3A" w:rsidRPr="00176D55" w:rsidRDefault="005A773A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5A773A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5A773A" w:rsidRPr="00C1426E" w:rsidTr="006C6A5E">
        <w:trPr>
          <w:trHeight w:val="299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A92E7D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1621</w:t>
            </w:r>
            <w:r w:rsidR="00ED27DA">
              <w:rPr>
                <w:bCs/>
              </w:rPr>
              <w:t>7</w:t>
            </w:r>
            <w:r>
              <w:rPr>
                <w:bCs/>
              </w:rPr>
              <w:t>,7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Доходы от сдачи в аренду имущества, находящегося в </w:t>
            </w:r>
            <w:r w:rsidRPr="001B7141"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lastRenderedPageBreak/>
              <w:t>77</w:t>
            </w:r>
            <w:r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lastRenderedPageBreak/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</w:pPr>
            <w:r>
              <w:t>220,0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ED27DA" w:rsidP="00ED27DA">
            <w:pPr>
              <w:jc w:val="center"/>
            </w:pPr>
            <w:r>
              <w:t>5,0</w:t>
            </w:r>
          </w:p>
        </w:tc>
      </w:tr>
      <w:tr w:rsidR="005A773A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ED27DA">
            <w:pPr>
              <w:jc w:val="center"/>
              <w:rPr>
                <w:bCs/>
              </w:rPr>
            </w:pPr>
            <w:r>
              <w:rPr>
                <w:bCs/>
              </w:rPr>
              <w:t>2419</w:t>
            </w:r>
            <w:r w:rsidR="00ED27DA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24194,4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Default="00ED27DA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40412,1</w:t>
            </w:r>
          </w:p>
        </w:tc>
      </w:tr>
    </w:tbl>
    <w:p w:rsidR="005A773A" w:rsidRPr="00944EFF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A92E7D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A92E7D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A92E7D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A92E7D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A92E7D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ED27DA" w:rsidP="0001755B">
            <w:pPr>
              <w:jc w:val="center"/>
              <w:rPr>
                <w:bCs/>
              </w:rPr>
            </w:pPr>
            <w:r>
              <w:rPr>
                <w:bCs/>
              </w:rPr>
              <w:t>41302,0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ED27DA" w:rsidP="0001755B">
            <w:pPr>
              <w:jc w:val="center"/>
              <w:rPr>
                <w:bCs/>
              </w:rPr>
            </w:pPr>
            <w:r>
              <w:rPr>
                <w:bCs/>
              </w:rPr>
              <w:t>10908</w:t>
            </w:r>
            <w:r w:rsidR="0001755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bCs/>
              </w:rPr>
              <w:t>536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D27DA" w:rsidP="00925C00">
            <w:pPr>
              <w:jc w:val="center"/>
            </w:pPr>
            <w:r>
              <w:t>4001</w:t>
            </w:r>
            <w:r w:rsidR="0001755B">
              <w:t>,</w:t>
            </w:r>
            <w:r>
              <w:t>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t>8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</w:pPr>
            <w:r>
              <w:t>11990,9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20467" w:rsidP="0001755B">
            <w:pPr>
              <w:jc w:val="center"/>
            </w:pPr>
            <w:r>
              <w:t>3350</w:t>
            </w:r>
            <w:r w:rsidR="00003FAB">
              <w:t>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01755B">
            <w:pPr>
              <w:jc w:val="center"/>
            </w:pPr>
            <w:r>
              <w:t>350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A076BB" w:rsidP="00756829">
            <w:pPr>
              <w:jc w:val="center"/>
            </w:pPr>
            <w:r>
              <w:rPr>
                <w:bCs/>
              </w:rPr>
              <w:t>3</w:t>
            </w:r>
            <w:r w:rsidR="00756829">
              <w:rPr>
                <w:bCs/>
              </w:rPr>
              <w:t>0</w:t>
            </w:r>
            <w:r>
              <w:rPr>
                <w:bCs/>
              </w:rPr>
              <w:t>00,0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756829" w:rsidP="0001755B">
            <w:pPr>
              <w:jc w:val="center"/>
            </w:pPr>
            <w:r>
              <w:t>13900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756829" w:rsidP="0001755B">
            <w:pPr>
              <w:jc w:val="center"/>
            </w:pPr>
            <w:r>
              <w:t>13900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</w:t>
            </w:r>
            <w:r w:rsidR="00003FAB">
              <w:t>,</w:t>
            </w:r>
            <w:r>
              <w:t>2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112,2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950847" w:rsidP="0001755B">
            <w:pPr>
              <w:jc w:val="center"/>
              <w:rPr>
                <w:bCs/>
              </w:rPr>
            </w:pPr>
            <w:r>
              <w:rPr>
                <w:bCs/>
              </w:rPr>
              <w:t>41302,0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A92E7D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950847" w:rsidP="006A3EBF">
            <w:pPr>
              <w:jc w:val="right"/>
              <w:rPr>
                <w:bCs/>
              </w:rPr>
            </w:pPr>
            <w:r>
              <w:rPr>
                <w:bCs/>
              </w:rPr>
              <w:t>41302,0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950847" w:rsidP="006A3EBF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6A3EBF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6A3EBF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7078E" w:rsidRPr="001B7141" w:rsidTr="006A3EBF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950847" w:rsidP="006A3EBF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17078E" w:rsidRPr="001B7141" w:rsidTr="006A3EBF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A47F2D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8E2AD6" w:rsidTr="006A3EB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</w:t>
            </w:r>
            <w:r w:rsidRPr="001B50DF">
              <w:lastRenderedPageBreak/>
              <w:t>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489,3</w:t>
            </w:r>
          </w:p>
        </w:tc>
      </w:tr>
      <w:tr w:rsidR="00BD64CD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</w:pPr>
            <w:r>
              <w:t>1,3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  <w:r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1B7141"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BD64CD" w:rsidP="006A3EBF">
            <w:pPr>
              <w:jc w:val="right"/>
            </w:pPr>
            <w:r>
              <w:t>11725,3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4110,4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4110,4</w:t>
            </w:r>
          </w:p>
        </w:tc>
      </w:tr>
      <w:tr w:rsidR="0017078E" w:rsidRPr="001B7141" w:rsidTr="00BD64C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 xml:space="preserve">Капитальный ремонт и ремонт автомобильных дорог общего </w:t>
            </w:r>
            <w:r w:rsidRPr="002375EF"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350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BD64C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Безаварийное прохождение осенне-зимнего периода, а также ликвидация </w:t>
            </w:r>
            <w:r w:rsidRPr="001B7141">
              <w:lastRenderedPageBreak/>
              <w:t>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4C1355" w:rsidRDefault="00BD64CD" w:rsidP="005A50C9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7078E" w:rsidRPr="001B7141" w:rsidTr="006A3EBF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</w:t>
            </w:r>
            <w:r w:rsidRPr="001B7141">
              <w:lastRenderedPageBreak/>
              <w:t xml:space="preserve">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10680,0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 xml:space="preserve">Реализация мероприятий муниципальной программы поселений </w:t>
            </w:r>
            <w:r w:rsidRPr="00830800">
              <w:rPr>
                <w:color w:val="000000"/>
              </w:rPr>
              <w:lastRenderedPageBreak/>
              <w:t>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6A3EBF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spacing w:val="-10"/>
              </w:rPr>
              <w:t xml:space="preserve">Обеспечение деятельности администрации Родниковского сельского поселения </w:t>
            </w:r>
            <w:r w:rsidRPr="001B7141">
              <w:rPr>
                <w:spacing w:val="-10"/>
              </w:rPr>
              <w:lastRenderedPageBreak/>
              <w:t>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5A50C9" w:rsidP="006A3EBF">
            <w:pPr>
              <w:jc w:val="right"/>
            </w:pPr>
            <w:r>
              <w:rPr>
                <w:bCs/>
              </w:rPr>
              <w:t>41302,0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A92E7D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5A50C9" w:rsidRPr="001B7141" w:rsidTr="005A50C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A50C9" w:rsidRPr="001B7141" w:rsidTr="005A50C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41302,0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AB091E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5A50C9" w:rsidRPr="001B7141" w:rsidTr="005A50C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A50C9" w:rsidRPr="001B7141" w:rsidTr="005A50C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A50C9" w:rsidRPr="001B7141" w:rsidTr="005A50C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A50C9" w:rsidRPr="001B7141" w:rsidTr="005A50C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A50C9" w:rsidRPr="001B7141" w:rsidTr="005A50C9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A50C9" w:rsidRPr="001B7141" w:rsidTr="005A50C9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A50C9" w:rsidRPr="001B7141" w:rsidTr="005A50C9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4249,7</w:t>
            </w:r>
          </w:p>
        </w:tc>
      </w:tr>
      <w:tr w:rsidR="005A50C9" w:rsidRPr="001B7141" w:rsidTr="005A50C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1085,7</w:t>
            </w:r>
          </w:p>
        </w:tc>
      </w:tr>
      <w:tr w:rsidR="005A50C9" w:rsidRPr="001B7141" w:rsidTr="005A50C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A50C9" w:rsidRPr="001B7141" w:rsidTr="005A50C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 w:rsidRPr="003E782B">
              <w:t>3,8</w:t>
            </w:r>
          </w:p>
        </w:tc>
      </w:tr>
      <w:tr w:rsidR="005A50C9" w:rsidRPr="001B7141" w:rsidTr="005A50C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 w:rsidRPr="003E782B">
              <w:t>3,8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 w:rsidRPr="003E782B">
              <w:t>3,8</w:t>
            </w:r>
          </w:p>
        </w:tc>
      </w:tr>
      <w:tr w:rsidR="005A50C9" w:rsidRPr="001B7141" w:rsidTr="005A50C9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166,0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F46BB2">
              <w:t>166,0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F46BB2">
              <w:t>166,0</w:t>
            </w:r>
          </w:p>
        </w:tc>
      </w:tr>
      <w:tr w:rsidR="005A50C9" w:rsidRPr="001B7141" w:rsidTr="005A50C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F46BB2">
              <w:t>166,0</w:t>
            </w:r>
          </w:p>
        </w:tc>
      </w:tr>
      <w:tr w:rsidR="005A50C9" w:rsidRPr="001B7141" w:rsidTr="005A50C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67146B" w:rsidRDefault="005A50C9" w:rsidP="005A50C9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F46BB2">
              <w:t>166,0</w:t>
            </w:r>
          </w:p>
        </w:tc>
      </w:tr>
      <w:tr w:rsidR="005A50C9" w:rsidRPr="001B7141" w:rsidTr="005A50C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67146B" w:rsidRDefault="005A50C9" w:rsidP="005A50C9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D150CE" w:rsidRDefault="005A50C9" w:rsidP="005A50C9">
            <w:pPr>
              <w:jc w:val="right"/>
            </w:pPr>
            <w:r>
              <w:t>500,0</w:t>
            </w:r>
          </w:p>
        </w:tc>
      </w:tr>
      <w:tr w:rsidR="005A50C9" w:rsidRPr="001B7141" w:rsidTr="005A50C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67146B" w:rsidRDefault="005A50C9" w:rsidP="005A50C9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D150CE" w:rsidRDefault="005A50C9" w:rsidP="005A50C9">
            <w:pPr>
              <w:jc w:val="right"/>
            </w:pPr>
            <w:r>
              <w:t>500,0</w:t>
            </w:r>
          </w:p>
        </w:tc>
      </w:tr>
      <w:tr w:rsidR="005A50C9" w:rsidRPr="001B7141" w:rsidTr="005A50C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67146B" w:rsidRDefault="005A50C9" w:rsidP="005A50C9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D150CE" w:rsidRDefault="005A50C9" w:rsidP="005A50C9">
            <w:pPr>
              <w:jc w:val="right"/>
            </w:pPr>
            <w:r>
              <w:t>500,0</w:t>
            </w:r>
          </w:p>
        </w:tc>
      </w:tr>
      <w:tr w:rsidR="005A50C9" w:rsidRPr="001B7141" w:rsidTr="005A50C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67146B" w:rsidRDefault="005A50C9" w:rsidP="005A50C9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D150CE" w:rsidRDefault="005A50C9" w:rsidP="005A50C9">
            <w:pPr>
              <w:jc w:val="right"/>
            </w:pPr>
            <w:r>
              <w:t>500,0</w:t>
            </w:r>
          </w:p>
        </w:tc>
      </w:tr>
      <w:tr w:rsidR="005A50C9" w:rsidRPr="001B7141" w:rsidTr="005A50C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D150CE" w:rsidRDefault="005A50C9" w:rsidP="005A50C9">
            <w:pPr>
              <w:jc w:val="right"/>
            </w:pPr>
            <w:r>
              <w:t>500,0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 w:rsidRPr="003E782B">
              <w:t>5,0</w:t>
            </w:r>
          </w:p>
        </w:tc>
      </w:tr>
      <w:tr w:rsidR="005A50C9" w:rsidRPr="001B7141" w:rsidTr="005A50C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 w:rsidRPr="003E782B">
              <w:t>5,0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 w:rsidRPr="003E782B">
              <w:t>5,0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5A50C9" w:rsidRPr="001B7141" w:rsidTr="005A50C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3521,6</w:t>
            </w:r>
          </w:p>
        </w:tc>
      </w:tr>
      <w:tr w:rsidR="005A50C9" w:rsidRPr="001B7141" w:rsidTr="005A50C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3451,6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3451,6</w:t>
            </w:r>
          </w:p>
        </w:tc>
      </w:tr>
      <w:tr w:rsidR="005A50C9" w:rsidRPr="001B7141" w:rsidTr="005A50C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2951,6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490,0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70,0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70,0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3E782B" w:rsidRDefault="005A50C9" w:rsidP="005A50C9">
            <w:pPr>
              <w:jc w:val="right"/>
            </w:pPr>
            <w:r>
              <w:t>70,0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258,8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258,8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признанием прав и регулированием </w:t>
            </w:r>
            <w:r w:rsidRPr="001B7141">
              <w:lastRenderedPageBreak/>
              <w:t>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A50C9" w:rsidRPr="001B7141" w:rsidTr="005A50C9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010454" w:rsidRDefault="00A47F2D" w:rsidP="005A50C9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5A50C9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208,8</w:t>
            </w:r>
          </w:p>
        </w:tc>
      </w:tr>
      <w:tr w:rsidR="005A50C9" w:rsidRPr="001B7141" w:rsidTr="005A50C9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208,8</w:t>
            </w:r>
          </w:p>
        </w:tc>
      </w:tr>
      <w:tr w:rsidR="005A50C9" w:rsidRPr="008E2AD6" w:rsidTr="005A50C9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t>171,0</w:t>
            </w:r>
          </w:p>
        </w:tc>
      </w:tr>
      <w:tr w:rsidR="005A50C9" w:rsidRPr="008E2AD6" w:rsidTr="005A50C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116,0</w:t>
            </w:r>
          </w:p>
        </w:tc>
      </w:tr>
      <w:tr w:rsidR="005A50C9" w:rsidRPr="001B7141" w:rsidTr="005A50C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116,0</w:t>
            </w:r>
          </w:p>
        </w:tc>
      </w:tr>
      <w:tr w:rsidR="005A50C9" w:rsidRPr="001B7141" w:rsidTr="005A50C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116,0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116,0</w:t>
            </w:r>
          </w:p>
        </w:tc>
      </w:tr>
      <w:tr w:rsidR="005A50C9" w:rsidRPr="001B7141" w:rsidTr="005A50C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 w:rsidRPr="00450835">
              <w:t>55,0</w:t>
            </w:r>
          </w:p>
        </w:tc>
      </w:tr>
      <w:tr w:rsidR="005A50C9" w:rsidRPr="001B7141" w:rsidTr="005A50C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 w:rsidRPr="00450835">
              <w:t>55,0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 w:rsidRPr="00450835">
              <w:t>55,0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8E2AD6" w:rsidRDefault="005A50C9" w:rsidP="005A50C9">
            <w:pPr>
              <w:jc w:val="right"/>
            </w:pPr>
            <w:r>
              <w:t>55,0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50DF">
              <w:t xml:space="preserve">Формирование условий для </w:t>
            </w:r>
            <w:r w:rsidRPr="001B50DF">
              <w:lastRenderedPageBreak/>
              <w:t>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50DF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Default="005A50C9" w:rsidP="005A50C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490,6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490,6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490,6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490,6</w:t>
            </w:r>
          </w:p>
        </w:tc>
      </w:tr>
      <w:tr w:rsidR="005A50C9" w:rsidRPr="001B7141" w:rsidTr="005A50C9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490,6</w:t>
            </w:r>
          </w:p>
        </w:tc>
      </w:tr>
      <w:tr w:rsidR="005A50C9" w:rsidRPr="001B7141" w:rsidTr="005A50C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489,3</w:t>
            </w:r>
          </w:p>
        </w:tc>
      </w:tr>
      <w:tr w:rsidR="005A50C9" w:rsidRPr="001B7141" w:rsidTr="005A50C9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1,3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  <w:r w:rsidRPr="001B7141">
              <w:rPr>
                <w:bCs/>
              </w:rPr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9C2FC4" w:rsidRDefault="005A50C9" w:rsidP="005A50C9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A50C9" w:rsidRPr="001B7141" w:rsidTr="005A50C9">
        <w:trPr>
          <w:trHeight w:val="1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A50C9" w:rsidRPr="001B7141" w:rsidTr="005A50C9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A50C9" w:rsidRPr="001B7141" w:rsidTr="005A50C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A50C9" w:rsidRPr="001B7141" w:rsidTr="005A50C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A50C9" w:rsidRPr="001B7141" w:rsidTr="005A50C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11990,9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</w:t>
            </w:r>
            <w:r w:rsidRPr="001B7141">
              <w:lastRenderedPageBreak/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11990,9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11990,9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t>11725,3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4110,4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4110,4</w:t>
            </w:r>
          </w:p>
        </w:tc>
      </w:tr>
      <w:tr w:rsidR="005A50C9" w:rsidRPr="001B7141" w:rsidTr="005A50C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7614,9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7614,9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t>265,6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265,6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265,6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5,0</w:t>
            </w:r>
          </w:p>
        </w:tc>
      </w:tr>
      <w:tr w:rsidR="005A50C9" w:rsidRPr="001B7141" w:rsidTr="005A50C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5,0</w:t>
            </w:r>
          </w:p>
        </w:tc>
      </w:tr>
      <w:tr w:rsidR="005A50C9" w:rsidRPr="001B7141" w:rsidTr="005A50C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5,0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5,0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5,0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 w:rsidRPr="008E2AD6">
              <w:t>5,0</w:t>
            </w:r>
          </w:p>
        </w:tc>
      </w:tr>
      <w:tr w:rsidR="005A50C9" w:rsidRPr="001B7141" w:rsidTr="005A50C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3350,0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t>200,0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150,0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150,0</w:t>
            </w:r>
          </w:p>
        </w:tc>
      </w:tr>
      <w:tr w:rsidR="005A50C9" w:rsidRPr="001B7141" w:rsidTr="005A50C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E2AD6" w:rsidRDefault="005A50C9" w:rsidP="005A50C9">
            <w:pPr>
              <w:jc w:val="right"/>
            </w:pPr>
            <w:r>
              <w:t>150,0</w:t>
            </w:r>
          </w:p>
        </w:tc>
      </w:tr>
      <w:tr w:rsidR="005A50C9" w:rsidRPr="001B7141" w:rsidTr="005A50C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4C1355" w:rsidRDefault="005A50C9" w:rsidP="005A50C9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Обеспечение комфортности </w:t>
            </w:r>
            <w:r w:rsidRPr="001B7141">
              <w:lastRenderedPageBreak/>
              <w:t>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350,0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350,0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350,0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5A50C9" w:rsidRPr="001B7141" w:rsidTr="005A50C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761759" w:rsidRDefault="005A50C9" w:rsidP="005A50C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A50C9" w:rsidRPr="001B7141" w:rsidTr="005A50C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BC6954" w:rsidRDefault="005A50C9" w:rsidP="005A50C9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BC6954" w:rsidRDefault="005A50C9" w:rsidP="005A50C9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1152B" w:rsidRDefault="005A50C9" w:rsidP="005A50C9">
            <w:pPr>
              <w:jc w:val="right"/>
            </w:pPr>
            <w:r>
              <w:t>13900,0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BC6954" w:rsidRDefault="005A50C9" w:rsidP="005A50C9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BC6954" w:rsidRDefault="005A50C9" w:rsidP="005A50C9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BC6954" w:rsidRDefault="005A50C9" w:rsidP="005A50C9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81152B" w:rsidRDefault="005A50C9" w:rsidP="005A50C9">
            <w:pPr>
              <w:jc w:val="right"/>
            </w:pPr>
            <w:r>
              <w:t>13900,0</w:t>
            </w:r>
          </w:p>
        </w:tc>
      </w:tr>
      <w:tr w:rsidR="005A50C9" w:rsidRPr="001B7141" w:rsidTr="005A50C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1152B" w:rsidRDefault="005A50C9" w:rsidP="005A50C9">
            <w:pPr>
              <w:jc w:val="right"/>
            </w:pPr>
            <w:r>
              <w:t>13150,0</w:t>
            </w:r>
          </w:p>
        </w:tc>
      </w:tr>
      <w:tr w:rsidR="005A50C9" w:rsidRPr="001B7141" w:rsidTr="005A50C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81152B" w:rsidRDefault="005A50C9" w:rsidP="005A50C9">
            <w:pPr>
              <w:jc w:val="right"/>
            </w:pPr>
            <w:r>
              <w:t>13150,0</w:t>
            </w:r>
          </w:p>
        </w:tc>
      </w:tr>
      <w:tr w:rsidR="005A50C9" w:rsidRPr="001B7141" w:rsidTr="005A50C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10680,0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9880,0</w:t>
            </w:r>
          </w:p>
        </w:tc>
      </w:tr>
      <w:tr w:rsidR="005A50C9" w:rsidRPr="001B7141" w:rsidTr="005A50C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9880,0</w:t>
            </w:r>
          </w:p>
        </w:tc>
      </w:tr>
      <w:tr w:rsidR="005A50C9" w:rsidRPr="001B7141" w:rsidTr="005A50C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830800" w:rsidRDefault="005A50C9" w:rsidP="005A50C9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D44A13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800,0</w:t>
            </w:r>
          </w:p>
        </w:tc>
      </w:tr>
      <w:tr w:rsidR="005A50C9" w:rsidRPr="001B7141" w:rsidTr="005A50C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D44A13" w:rsidRDefault="005A50C9" w:rsidP="005A50C9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D44A13" w:rsidRDefault="005A50C9" w:rsidP="005A50C9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800,0</w:t>
            </w:r>
          </w:p>
        </w:tc>
      </w:tr>
      <w:tr w:rsidR="005A50C9" w:rsidRPr="001B7141" w:rsidTr="005A50C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30,0</w:t>
            </w:r>
          </w:p>
        </w:tc>
      </w:tr>
      <w:tr w:rsidR="005A50C9" w:rsidRPr="001B7141" w:rsidTr="005A50C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30,0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2440,0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</w:t>
            </w:r>
            <w:r w:rsidRPr="001B7141">
              <w:lastRenderedPageBreak/>
              <w:t>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F21DD7" w:rsidRDefault="005A50C9" w:rsidP="005A50C9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750,0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750,0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F21DD7" w:rsidRDefault="005A50C9" w:rsidP="005A50C9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t>750,0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C401DD">
              <w:t>245,2</w:t>
            </w:r>
          </w:p>
        </w:tc>
      </w:tr>
      <w:tr w:rsidR="005A50C9" w:rsidRPr="001B7141" w:rsidTr="005A50C9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C401DD">
              <w:t>245,2</w:t>
            </w:r>
          </w:p>
        </w:tc>
      </w:tr>
      <w:tr w:rsidR="005A50C9" w:rsidRPr="001B7141" w:rsidTr="005A50C9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C401DD">
              <w:t>245,2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C401DD">
              <w:t>245,2</w:t>
            </w:r>
          </w:p>
        </w:tc>
      </w:tr>
      <w:tr w:rsidR="005A50C9" w:rsidRPr="001B7141" w:rsidTr="005A50C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C401DD">
              <w:t>245,2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245,2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5A50C9" w:rsidRPr="001B7141" w:rsidTr="005A50C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991FCC">
              <w:t>60,0</w:t>
            </w:r>
          </w:p>
        </w:tc>
      </w:tr>
      <w:tr w:rsidR="005A50C9" w:rsidRPr="001B7141" w:rsidTr="005A5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991FCC">
              <w:t>60,0</w:t>
            </w:r>
          </w:p>
        </w:tc>
      </w:tr>
      <w:tr w:rsidR="005A50C9" w:rsidRPr="001B7141" w:rsidTr="007A25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991FCC">
              <w:t>60,0</w:t>
            </w:r>
          </w:p>
        </w:tc>
      </w:tr>
      <w:tr w:rsidR="005A50C9" w:rsidRPr="001B7141" w:rsidTr="005A50C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991FCC">
              <w:t>60,0</w:t>
            </w:r>
          </w:p>
        </w:tc>
      </w:tr>
      <w:tr w:rsidR="005A50C9" w:rsidRPr="001B7141" w:rsidTr="007A25F9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 w:rsidRPr="00991FCC">
              <w:t>60,0</w:t>
            </w:r>
          </w:p>
        </w:tc>
      </w:tr>
      <w:tr w:rsidR="005A50C9" w:rsidRPr="001B7141" w:rsidTr="005A50C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5A50C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5A50C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5A50C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7A25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5A50C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7A25F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713B5" w:rsidRDefault="005A50C9" w:rsidP="005A50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5A50C9" w:rsidRPr="001B7141" w:rsidTr="007A25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5A50C9" w:rsidRPr="001B7141" w:rsidTr="007A25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5A50C9" w:rsidRPr="001B7141" w:rsidTr="005A50C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5A50C9" w:rsidRPr="001B7141" w:rsidTr="007A25F9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5A50C9" w:rsidRPr="001B7141" w:rsidTr="007A25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Default="005A50C9" w:rsidP="005A50C9">
            <w:pPr>
              <w:jc w:val="right"/>
            </w:pPr>
            <w:r w:rsidRPr="003C747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0C9" w:rsidRDefault="005A50C9" w:rsidP="005A50C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5A50C9" w:rsidRPr="001B7141" w:rsidTr="007A25F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50C9" w:rsidRPr="001B7141" w:rsidRDefault="005A50C9" w:rsidP="005A50C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9" w:rsidRPr="005E335F" w:rsidRDefault="005A50C9" w:rsidP="005A50C9">
            <w:pPr>
              <w:jc w:val="right"/>
            </w:pPr>
            <w:r>
              <w:rPr>
                <w:bCs/>
              </w:rPr>
              <w:t>41302,0</w:t>
            </w:r>
          </w:p>
        </w:tc>
      </w:tr>
    </w:tbl>
    <w:p w:rsidR="005A50C9" w:rsidRDefault="005A50C9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5A50C9" w:rsidRPr="009B2681" w:rsidRDefault="005A50C9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A92E7D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7A25F9" w:rsidP="0001755B">
            <w:pPr>
              <w:jc w:val="center"/>
            </w:pPr>
            <w:r>
              <w:t>889,9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7A25F9" w:rsidP="0001755B">
            <w:pPr>
              <w:jc w:val="center"/>
            </w:pPr>
            <w:r>
              <w:rPr>
                <w:bCs/>
              </w:rPr>
              <w:t>889,9</w:t>
            </w:r>
          </w:p>
        </w:tc>
      </w:tr>
      <w:tr w:rsidR="007A25F9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1F205F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1F205F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1F205F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A25F9">
              <w:rPr>
                <w:bCs/>
              </w:rPr>
              <w:t>40412</w:t>
            </w:r>
            <w:r w:rsidR="00C44829">
              <w:rPr>
                <w:bCs/>
              </w:rPr>
              <w:t>,</w:t>
            </w:r>
            <w:r w:rsidR="007A25F9">
              <w:rPr>
                <w:bCs/>
              </w:rPr>
              <w:t>1</w:t>
            </w:r>
          </w:p>
        </w:tc>
      </w:tr>
      <w:tr w:rsidR="007A25F9" w:rsidRPr="005E335F" w:rsidTr="0001755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1F205F">
            <w:pPr>
              <w:jc w:val="center"/>
            </w:pPr>
            <w:r>
              <w:rPr>
                <w:bCs/>
              </w:rPr>
              <w:t>+41302,0</w:t>
            </w:r>
          </w:p>
        </w:tc>
      </w:tr>
      <w:tr w:rsidR="007A25F9" w:rsidRPr="005E335F" w:rsidTr="0001755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1F205F">
            <w:pPr>
              <w:jc w:val="center"/>
            </w:pPr>
            <w:r>
              <w:rPr>
                <w:bCs/>
              </w:rPr>
              <w:t>+41302,0</w:t>
            </w:r>
          </w:p>
        </w:tc>
      </w:tr>
      <w:tr w:rsidR="007A25F9" w:rsidRPr="005E335F" w:rsidTr="0001755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1F205F">
            <w:pPr>
              <w:jc w:val="center"/>
            </w:pPr>
            <w:r>
              <w:rPr>
                <w:bCs/>
              </w:rPr>
              <w:t>+41302,0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</w:pPr>
            <w:r>
              <w:rPr>
                <w:bCs/>
              </w:rPr>
              <w:t>+</w:t>
            </w:r>
            <w:r w:rsidR="007A25F9">
              <w:rPr>
                <w:bCs/>
              </w:rPr>
              <w:t>41302</w:t>
            </w:r>
            <w:r w:rsidR="00C44829">
              <w:rPr>
                <w:bCs/>
              </w:rPr>
              <w:t>,</w:t>
            </w:r>
            <w:r w:rsidR="007A25F9">
              <w:rPr>
                <w:bCs/>
              </w:rPr>
              <w:t>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A92E7D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A92E7D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января 2021 года № 73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sectPr w:rsidR="0001755B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2F" w:rsidRDefault="00242B2F">
      <w:r>
        <w:separator/>
      </w:r>
    </w:p>
  </w:endnote>
  <w:endnote w:type="continuationSeparator" w:id="1">
    <w:p w:rsidR="00242B2F" w:rsidRDefault="002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2F" w:rsidRDefault="00242B2F">
      <w:r>
        <w:separator/>
      </w:r>
    </w:p>
  </w:footnote>
  <w:footnote w:type="continuationSeparator" w:id="1">
    <w:p w:rsidR="00242B2F" w:rsidRDefault="0024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C9" w:rsidRPr="00042709" w:rsidRDefault="00A47F2D" w:rsidP="00042709">
    <w:pPr>
      <w:pStyle w:val="a8"/>
      <w:jc w:val="center"/>
    </w:pPr>
    <w:fldSimple w:instr=" PAGE   \* MERGEFORMAT ">
      <w:r w:rsidR="00736CB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685C"/>
    <w:rsid w:val="000D0464"/>
    <w:rsid w:val="000D161A"/>
    <w:rsid w:val="000D371D"/>
    <w:rsid w:val="000E40C6"/>
    <w:rsid w:val="000F3FC8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1177E"/>
    <w:rsid w:val="00215E57"/>
    <w:rsid w:val="00217E3D"/>
    <w:rsid w:val="00221784"/>
    <w:rsid w:val="002217C5"/>
    <w:rsid w:val="0022310E"/>
    <w:rsid w:val="002353AF"/>
    <w:rsid w:val="002408DD"/>
    <w:rsid w:val="00242B2F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14AB3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3949"/>
    <w:rsid w:val="00623C48"/>
    <w:rsid w:val="006345E6"/>
    <w:rsid w:val="00646999"/>
    <w:rsid w:val="006500BF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1286"/>
    <w:rsid w:val="00736CB5"/>
    <w:rsid w:val="00744E38"/>
    <w:rsid w:val="0075158F"/>
    <w:rsid w:val="00755E2D"/>
    <w:rsid w:val="00756829"/>
    <w:rsid w:val="00761759"/>
    <w:rsid w:val="00771769"/>
    <w:rsid w:val="007750BA"/>
    <w:rsid w:val="007766F0"/>
    <w:rsid w:val="0078067A"/>
    <w:rsid w:val="00782324"/>
    <w:rsid w:val="00794D79"/>
    <w:rsid w:val="007A1223"/>
    <w:rsid w:val="007A25F9"/>
    <w:rsid w:val="007A3C40"/>
    <w:rsid w:val="007A7A28"/>
    <w:rsid w:val="007C5AE3"/>
    <w:rsid w:val="007D3296"/>
    <w:rsid w:val="007D56B0"/>
    <w:rsid w:val="007F3D13"/>
    <w:rsid w:val="007F411B"/>
    <w:rsid w:val="007F5989"/>
    <w:rsid w:val="00801B2C"/>
    <w:rsid w:val="0080479E"/>
    <w:rsid w:val="00804EA9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7F99"/>
    <w:rsid w:val="008C5E06"/>
    <w:rsid w:val="008E002B"/>
    <w:rsid w:val="008E1FE8"/>
    <w:rsid w:val="008E2986"/>
    <w:rsid w:val="008E2A4E"/>
    <w:rsid w:val="008E2AD6"/>
    <w:rsid w:val="008E601C"/>
    <w:rsid w:val="008F23D7"/>
    <w:rsid w:val="00900FA2"/>
    <w:rsid w:val="00901F53"/>
    <w:rsid w:val="009051B7"/>
    <w:rsid w:val="00920467"/>
    <w:rsid w:val="00921D87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CCB"/>
    <w:rsid w:val="00975223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0F5B"/>
    <w:rsid w:val="00A41803"/>
    <w:rsid w:val="00A46D96"/>
    <w:rsid w:val="00A47F2D"/>
    <w:rsid w:val="00A54A56"/>
    <w:rsid w:val="00A563C2"/>
    <w:rsid w:val="00A57082"/>
    <w:rsid w:val="00A57CB5"/>
    <w:rsid w:val="00A65777"/>
    <w:rsid w:val="00A67239"/>
    <w:rsid w:val="00A7539E"/>
    <w:rsid w:val="00A92E7D"/>
    <w:rsid w:val="00AA3DD1"/>
    <w:rsid w:val="00AA67AA"/>
    <w:rsid w:val="00AB091E"/>
    <w:rsid w:val="00AB202E"/>
    <w:rsid w:val="00AB20E9"/>
    <w:rsid w:val="00AB4D28"/>
    <w:rsid w:val="00AC10F1"/>
    <w:rsid w:val="00AC26CD"/>
    <w:rsid w:val="00AC5180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720D9"/>
    <w:rsid w:val="00B73172"/>
    <w:rsid w:val="00B739D0"/>
    <w:rsid w:val="00B73A77"/>
    <w:rsid w:val="00B7436E"/>
    <w:rsid w:val="00B807B2"/>
    <w:rsid w:val="00B84D4D"/>
    <w:rsid w:val="00B85C58"/>
    <w:rsid w:val="00B87337"/>
    <w:rsid w:val="00B9352A"/>
    <w:rsid w:val="00BA422F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6FED"/>
    <w:rsid w:val="00CA2A09"/>
    <w:rsid w:val="00CA39A3"/>
    <w:rsid w:val="00CA66C0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5945"/>
    <w:rsid w:val="00DC63A0"/>
    <w:rsid w:val="00DC7CA4"/>
    <w:rsid w:val="00DD2852"/>
    <w:rsid w:val="00DE6157"/>
    <w:rsid w:val="00DE659B"/>
    <w:rsid w:val="00DE7F9C"/>
    <w:rsid w:val="00E00291"/>
    <w:rsid w:val="00E12AFD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27DA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70BE2"/>
    <w:rsid w:val="00F81540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48</Pages>
  <Words>12188</Words>
  <Characters>69475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4</cp:revision>
  <cp:lastPrinted>2020-11-18T08:41:00Z</cp:lastPrinted>
  <dcterms:created xsi:type="dcterms:W3CDTF">2021-04-06T14:02:00Z</dcterms:created>
  <dcterms:modified xsi:type="dcterms:W3CDTF">2021-04-08T13:09:00Z</dcterms:modified>
</cp:coreProperties>
</file>